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F8" w:rsidRPr="00F17C74" w:rsidRDefault="00F17C74" w:rsidP="00E877CC">
      <w:pPr>
        <w:jc w:val="center"/>
        <w:rPr>
          <w:b/>
          <w:sz w:val="32"/>
          <w:szCs w:val="24"/>
        </w:rPr>
      </w:pPr>
      <w:bookmarkStart w:id="0" w:name="_GoBack"/>
      <w:bookmarkEnd w:id="0"/>
      <w:r>
        <w:rPr>
          <w:b/>
          <w:sz w:val="32"/>
          <w:szCs w:val="24"/>
        </w:rPr>
        <w:t>Dual E</w:t>
      </w:r>
      <w:r w:rsidR="005854F8" w:rsidRPr="00F17C74">
        <w:rPr>
          <w:b/>
          <w:sz w:val="32"/>
          <w:szCs w:val="24"/>
        </w:rPr>
        <w:t>nrol</w:t>
      </w:r>
      <w:r>
        <w:rPr>
          <w:b/>
          <w:sz w:val="32"/>
          <w:szCs w:val="24"/>
        </w:rPr>
        <w:t>l</w:t>
      </w:r>
      <w:r w:rsidR="005854F8" w:rsidRPr="00F17C74">
        <w:rPr>
          <w:b/>
          <w:sz w:val="32"/>
          <w:szCs w:val="24"/>
        </w:rPr>
        <w:t>ment Grant Information</w:t>
      </w:r>
    </w:p>
    <w:p w:rsidR="005854F8" w:rsidRPr="00754D3D" w:rsidRDefault="005854F8" w:rsidP="005854F8">
      <w:pPr>
        <w:contextualSpacing/>
        <w:rPr>
          <w:szCs w:val="24"/>
        </w:rPr>
      </w:pPr>
      <w:r w:rsidRPr="00754D3D">
        <w:rPr>
          <w:szCs w:val="24"/>
        </w:rPr>
        <w:t xml:space="preserve">There has been some confusion as to how TSAC </w:t>
      </w:r>
      <w:r w:rsidR="00B30C30" w:rsidRPr="00754D3D">
        <w:rPr>
          <w:szCs w:val="24"/>
        </w:rPr>
        <w:t>allocates</w:t>
      </w:r>
      <w:r w:rsidRPr="00754D3D">
        <w:rPr>
          <w:szCs w:val="24"/>
        </w:rPr>
        <w:t xml:space="preserve"> money </w:t>
      </w:r>
      <w:r w:rsidR="00E877CC">
        <w:rPr>
          <w:szCs w:val="24"/>
        </w:rPr>
        <w:t>to the</w:t>
      </w:r>
      <w:r w:rsidR="00B30C30" w:rsidRPr="00754D3D">
        <w:rPr>
          <w:szCs w:val="24"/>
        </w:rPr>
        <w:t xml:space="preserve"> dual</w:t>
      </w:r>
      <w:r w:rsidRPr="00754D3D">
        <w:rPr>
          <w:szCs w:val="24"/>
        </w:rPr>
        <w:t xml:space="preserve"> enrollment</w:t>
      </w:r>
      <w:r w:rsidR="00B30C30" w:rsidRPr="00754D3D">
        <w:rPr>
          <w:szCs w:val="24"/>
        </w:rPr>
        <w:t xml:space="preserve"> course</w:t>
      </w:r>
      <w:r w:rsidR="00E877CC">
        <w:rPr>
          <w:szCs w:val="24"/>
        </w:rPr>
        <w:t>.</w:t>
      </w:r>
      <w:r w:rsidR="00B30C30" w:rsidRPr="00754D3D">
        <w:rPr>
          <w:szCs w:val="24"/>
        </w:rPr>
        <w:t xml:space="preserve"> </w:t>
      </w:r>
      <w:r w:rsidR="00E877CC">
        <w:rPr>
          <w:szCs w:val="24"/>
        </w:rPr>
        <w:t>The change from the original allocation formula is due to the legislators</w:t>
      </w:r>
      <w:r w:rsidRPr="00754D3D">
        <w:rPr>
          <w:szCs w:val="24"/>
        </w:rPr>
        <w:t xml:space="preserve"> </w:t>
      </w:r>
      <w:r w:rsidR="00E877CC">
        <w:rPr>
          <w:szCs w:val="24"/>
        </w:rPr>
        <w:t xml:space="preserve">rearranging </w:t>
      </w:r>
      <w:r w:rsidR="009F063F">
        <w:rPr>
          <w:szCs w:val="24"/>
        </w:rPr>
        <w:t xml:space="preserve">the </w:t>
      </w:r>
      <w:r w:rsidR="00E877CC">
        <w:rPr>
          <w:szCs w:val="24"/>
        </w:rPr>
        <w:t>lottery money</w:t>
      </w:r>
      <w:r w:rsidR="009F063F">
        <w:rPr>
          <w:szCs w:val="24"/>
        </w:rPr>
        <w:t xml:space="preserve"> </w:t>
      </w:r>
      <w:r w:rsidR="00E877CC">
        <w:rPr>
          <w:szCs w:val="24"/>
        </w:rPr>
        <w:t>for</w:t>
      </w:r>
      <w:r w:rsidR="00B30C30" w:rsidRPr="00754D3D">
        <w:rPr>
          <w:szCs w:val="24"/>
        </w:rPr>
        <w:t xml:space="preserve"> the creation of the TNPromise grant.</w:t>
      </w:r>
      <w:r w:rsidRPr="00754D3D">
        <w:rPr>
          <w:szCs w:val="24"/>
        </w:rPr>
        <w:t xml:space="preserve"> </w:t>
      </w:r>
    </w:p>
    <w:p w:rsidR="00B30C30" w:rsidRPr="00754D3D" w:rsidRDefault="00B30C30" w:rsidP="005854F8">
      <w:pPr>
        <w:contextualSpacing/>
        <w:rPr>
          <w:szCs w:val="24"/>
        </w:rPr>
      </w:pPr>
      <w:r w:rsidRPr="00754D3D">
        <w:rPr>
          <w:szCs w:val="24"/>
        </w:rPr>
        <w:t xml:space="preserve">Below </w:t>
      </w:r>
      <w:r w:rsidR="009F063F">
        <w:rPr>
          <w:szCs w:val="24"/>
        </w:rPr>
        <w:t>is a schedule as to how the money is distributed</w:t>
      </w:r>
      <w:r w:rsidRPr="00754D3D">
        <w:rPr>
          <w:szCs w:val="24"/>
        </w:rPr>
        <w:t>:</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Up to $500 – Course #1</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Up to $500 – Course #2</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Up to $200 – Course #3</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No award – Course #4</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Up to $100 per credit hour – Course #5</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Up to $100 per credit hour – Course #6</w:t>
      </w:r>
    </w:p>
    <w:p w:rsidR="00B30C30" w:rsidRPr="00754D3D" w:rsidRDefault="00B30C30" w:rsidP="00B30C30">
      <w:pPr>
        <w:pStyle w:val="ListParagraph"/>
        <w:numPr>
          <w:ilvl w:val="0"/>
          <w:numId w:val="1"/>
        </w:numPr>
        <w:spacing w:after="0"/>
        <w:rPr>
          <w:rFonts w:eastAsia="Times New Roman"/>
          <w:szCs w:val="24"/>
        </w:rPr>
      </w:pPr>
      <w:r w:rsidRPr="00754D3D">
        <w:rPr>
          <w:rFonts w:eastAsia="Times New Roman"/>
          <w:szCs w:val="24"/>
        </w:rPr>
        <w:t>Up to $100 per credit hour – Course #7</w:t>
      </w:r>
    </w:p>
    <w:p w:rsidR="00B30C30" w:rsidRPr="002F160D" w:rsidRDefault="00B30C30" w:rsidP="00B30C30">
      <w:pPr>
        <w:pStyle w:val="ListParagraph"/>
        <w:numPr>
          <w:ilvl w:val="0"/>
          <w:numId w:val="1"/>
        </w:numPr>
        <w:rPr>
          <w:szCs w:val="24"/>
        </w:rPr>
      </w:pPr>
      <w:r w:rsidRPr="00754D3D">
        <w:rPr>
          <w:rFonts w:eastAsia="Times New Roman"/>
          <w:szCs w:val="24"/>
        </w:rPr>
        <w:t>Up to $100 per credit hour – Course #8</w:t>
      </w:r>
    </w:p>
    <w:p w:rsidR="009F063F" w:rsidRDefault="009F063F" w:rsidP="009F063F">
      <w:pPr>
        <w:contextualSpacing/>
        <w:rPr>
          <w:szCs w:val="24"/>
        </w:rPr>
      </w:pPr>
      <w:r>
        <w:rPr>
          <w:szCs w:val="24"/>
        </w:rPr>
        <w:t>Here are two examples of how the grant money would be distributed for student A and student B:</w:t>
      </w:r>
    </w:p>
    <w:p w:rsidR="009F063F" w:rsidRDefault="009F063F" w:rsidP="009F063F">
      <w:pPr>
        <w:contextualSpacing/>
        <w:rPr>
          <w:szCs w:val="24"/>
        </w:rPr>
      </w:pPr>
      <w:r w:rsidRPr="009F063F">
        <w:rPr>
          <w:b/>
          <w:szCs w:val="24"/>
        </w:rPr>
        <w:t>S</w:t>
      </w:r>
      <w:r w:rsidR="002F160D" w:rsidRPr="009F063F">
        <w:rPr>
          <w:b/>
          <w:szCs w:val="24"/>
        </w:rPr>
        <w:t xml:space="preserve">tudent </w:t>
      </w:r>
      <w:r w:rsidRPr="009F063F">
        <w:rPr>
          <w:b/>
          <w:szCs w:val="24"/>
        </w:rPr>
        <w:t>A</w:t>
      </w:r>
      <w:r w:rsidR="00DE1357">
        <w:rPr>
          <w:szCs w:val="24"/>
        </w:rPr>
        <w:t xml:space="preserve"> takes</w:t>
      </w:r>
      <w:r w:rsidR="002F160D">
        <w:rPr>
          <w:szCs w:val="24"/>
        </w:rPr>
        <w:t xml:space="preserve"> College Comp 101 (Course #1 - $500), Listening to Music (Course #2 - $500) 1</w:t>
      </w:r>
      <w:r w:rsidR="002F160D" w:rsidRPr="002F160D">
        <w:rPr>
          <w:szCs w:val="24"/>
          <w:vertAlign w:val="superscript"/>
        </w:rPr>
        <w:t>st</w:t>
      </w:r>
      <w:r w:rsidR="002F160D">
        <w:rPr>
          <w:szCs w:val="24"/>
        </w:rPr>
        <w:t xml:space="preserve"> Semester and then takes Comp 102 (Course #3 - $200</w:t>
      </w:r>
      <w:r>
        <w:rPr>
          <w:szCs w:val="24"/>
        </w:rPr>
        <w:t>), and A&amp;</w:t>
      </w:r>
      <w:r w:rsidR="002F160D">
        <w:rPr>
          <w:szCs w:val="24"/>
        </w:rPr>
        <w:t>P (Course #4 - $0) 2</w:t>
      </w:r>
      <w:r w:rsidR="002F160D" w:rsidRPr="002F160D">
        <w:rPr>
          <w:szCs w:val="24"/>
          <w:vertAlign w:val="superscript"/>
        </w:rPr>
        <w:t>nd</w:t>
      </w:r>
      <w:r w:rsidR="002F160D">
        <w:rPr>
          <w:szCs w:val="24"/>
        </w:rPr>
        <w:t xml:space="preserve"> Semester. </w:t>
      </w:r>
    </w:p>
    <w:p w:rsidR="009F063F" w:rsidRDefault="009F063F" w:rsidP="009F063F">
      <w:pPr>
        <w:contextualSpacing/>
        <w:rPr>
          <w:szCs w:val="24"/>
        </w:rPr>
      </w:pPr>
      <w:r w:rsidRPr="009F063F">
        <w:rPr>
          <w:b/>
          <w:szCs w:val="24"/>
        </w:rPr>
        <w:t>Student B</w:t>
      </w:r>
      <w:r>
        <w:rPr>
          <w:szCs w:val="24"/>
        </w:rPr>
        <w:t xml:space="preserve"> takes Listening to Music (Course #1 - $500) 1st semester and then takes A&amp;P (Course #2 - $500) 2</w:t>
      </w:r>
      <w:r w:rsidRPr="009F063F">
        <w:rPr>
          <w:szCs w:val="24"/>
          <w:vertAlign w:val="superscript"/>
        </w:rPr>
        <w:t>nd</w:t>
      </w:r>
      <w:r>
        <w:rPr>
          <w:szCs w:val="24"/>
        </w:rPr>
        <w:t xml:space="preserve"> semester.</w:t>
      </w:r>
    </w:p>
    <w:p w:rsidR="002F160D" w:rsidRDefault="002F160D" w:rsidP="009F063F">
      <w:pPr>
        <w:contextualSpacing/>
        <w:rPr>
          <w:szCs w:val="24"/>
        </w:rPr>
      </w:pPr>
      <w:r>
        <w:rPr>
          <w:szCs w:val="24"/>
        </w:rPr>
        <w:t xml:space="preserve">You can see how the money would be distributed for the </w:t>
      </w:r>
      <w:r w:rsidR="009F063F">
        <w:rPr>
          <w:szCs w:val="24"/>
        </w:rPr>
        <w:t>courses particular to Collegedale Academy</w:t>
      </w:r>
      <w:r>
        <w:rPr>
          <w:szCs w:val="24"/>
        </w:rPr>
        <w:t>.</w:t>
      </w:r>
    </w:p>
    <w:p w:rsidR="009F063F" w:rsidRDefault="009F063F" w:rsidP="009F063F">
      <w:pPr>
        <w:contextualSpacing/>
        <w:rPr>
          <w:szCs w:val="24"/>
        </w:rPr>
      </w:pPr>
    </w:p>
    <w:p w:rsidR="00B30C30" w:rsidRPr="00754D3D" w:rsidRDefault="00B30C30" w:rsidP="00B30C30">
      <w:pPr>
        <w:rPr>
          <w:b/>
          <w:szCs w:val="24"/>
        </w:rPr>
      </w:pPr>
      <w:r w:rsidRPr="00754D3D">
        <w:rPr>
          <w:b/>
          <w:szCs w:val="24"/>
        </w:rPr>
        <w:t>Additional information</w:t>
      </w:r>
      <w:r w:rsidR="009F063F">
        <w:rPr>
          <w:b/>
          <w:szCs w:val="24"/>
        </w:rPr>
        <w:t xml:space="preserve"> that may be of interest</w:t>
      </w:r>
      <w:r w:rsidRPr="00754D3D">
        <w:rPr>
          <w:b/>
          <w:szCs w:val="24"/>
        </w:rPr>
        <w:t>:</w:t>
      </w:r>
    </w:p>
    <w:p w:rsidR="00B30C30" w:rsidRPr="00754D3D" w:rsidRDefault="00B30C30" w:rsidP="009F063F">
      <w:pPr>
        <w:pStyle w:val="ListParagraph"/>
        <w:numPr>
          <w:ilvl w:val="0"/>
          <w:numId w:val="3"/>
        </w:numPr>
        <w:spacing w:after="0"/>
        <w:rPr>
          <w:rFonts w:eastAsia="Times New Roman"/>
          <w:szCs w:val="24"/>
        </w:rPr>
      </w:pPr>
      <w:r w:rsidRPr="00754D3D">
        <w:rPr>
          <w:rFonts w:eastAsia="Times New Roman"/>
          <w:szCs w:val="24"/>
        </w:rPr>
        <w:t>DEG award amounts for courses 5-8 shall not exceed $600 per semester ($1,200 per year).</w:t>
      </w:r>
    </w:p>
    <w:p w:rsidR="00B30C30" w:rsidRPr="00754D3D" w:rsidRDefault="00B30C30" w:rsidP="009F063F">
      <w:pPr>
        <w:spacing w:after="0"/>
        <w:contextualSpacing/>
        <w:rPr>
          <w:rFonts w:eastAsia="Times New Roman"/>
          <w:szCs w:val="24"/>
        </w:rPr>
      </w:pPr>
    </w:p>
    <w:p w:rsidR="00B30C30" w:rsidRPr="00754D3D" w:rsidRDefault="00B30C30" w:rsidP="009F063F">
      <w:pPr>
        <w:pStyle w:val="ListParagraph"/>
        <w:numPr>
          <w:ilvl w:val="0"/>
          <w:numId w:val="3"/>
        </w:numPr>
        <w:spacing w:after="0"/>
        <w:rPr>
          <w:rFonts w:eastAsia="Times New Roman"/>
          <w:szCs w:val="24"/>
        </w:rPr>
      </w:pPr>
      <w:r w:rsidRPr="00754D3D">
        <w:rPr>
          <w:rFonts w:eastAsia="Times New Roman"/>
          <w:szCs w:val="24"/>
        </w:rPr>
        <w:t>A student may receive funding for one (1) course per semester. To receive funding for one additional course per semester, the student must meet the minimum HOPE Scholarship academic requirements at the time of dual enrollment.  For more details, please see the Tennessee HOPE Scholarship eligibility requirements. </w:t>
      </w:r>
    </w:p>
    <w:p w:rsidR="00B30C30" w:rsidRPr="00754D3D" w:rsidRDefault="00B30C30" w:rsidP="009F063F">
      <w:pPr>
        <w:spacing w:after="0"/>
        <w:contextualSpacing/>
        <w:rPr>
          <w:rFonts w:eastAsia="Times New Roman"/>
          <w:szCs w:val="24"/>
        </w:rPr>
      </w:pPr>
    </w:p>
    <w:p w:rsidR="00B30C30" w:rsidRPr="00754D3D" w:rsidRDefault="00B30C30" w:rsidP="009F063F">
      <w:pPr>
        <w:pStyle w:val="ListParagraph"/>
        <w:numPr>
          <w:ilvl w:val="0"/>
          <w:numId w:val="3"/>
        </w:numPr>
        <w:spacing w:after="0"/>
        <w:rPr>
          <w:rFonts w:eastAsia="Times New Roman"/>
          <w:szCs w:val="24"/>
        </w:rPr>
      </w:pPr>
      <w:r w:rsidRPr="00754D3D">
        <w:rPr>
          <w:rFonts w:eastAsia="Times New Roman"/>
          <w:szCs w:val="24"/>
        </w:rPr>
        <w:t>Students who receive the Dual Enrollment Grant amount for more than four (4) dual enrollment courses over the junior and senior years will have the amount reduced from their Tennessee HOPE Scholarship on a dollar for dollar basis. </w:t>
      </w:r>
    </w:p>
    <w:p w:rsidR="00B30C30" w:rsidRPr="00754D3D" w:rsidRDefault="00B30C30" w:rsidP="009F063F">
      <w:pPr>
        <w:spacing w:after="0"/>
        <w:contextualSpacing/>
        <w:rPr>
          <w:rFonts w:eastAsia="Times New Roman"/>
          <w:szCs w:val="24"/>
        </w:rPr>
      </w:pPr>
    </w:p>
    <w:p w:rsidR="00B30C30" w:rsidRPr="00754D3D" w:rsidRDefault="00B30C30" w:rsidP="009F063F">
      <w:pPr>
        <w:pStyle w:val="ListParagraph"/>
        <w:numPr>
          <w:ilvl w:val="0"/>
          <w:numId w:val="3"/>
        </w:numPr>
        <w:spacing w:after="0"/>
        <w:rPr>
          <w:rFonts w:eastAsia="Times New Roman"/>
          <w:szCs w:val="24"/>
        </w:rPr>
      </w:pPr>
      <w:r w:rsidRPr="00754D3D">
        <w:rPr>
          <w:rFonts w:eastAsia="Times New Roman"/>
          <w:szCs w:val="24"/>
        </w:rPr>
        <w:t>College courses attempted and the number of years enrolled as dual enrolled students shall not count against the 120 semester hours and five (5) years limitation for the Tennessee HOPE Scholarship program.</w:t>
      </w:r>
    </w:p>
    <w:p w:rsidR="00B30C30" w:rsidRPr="00754D3D" w:rsidRDefault="00B30C30" w:rsidP="009F063F">
      <w:pPr>
        <w:spacing w:after="0"/>
        <w:contextualSpacing/>
        <w:rPr>
          <w:rFonts w:eastAsia="Times New Roman"/>
          <w:szCs w:val="24"/>
        </w:rPr>
      </w:pPr>
    </w:p>
    <w:p w:rsidR="00B30C30" w:rsidRPr="00754D3D" w:rsidRDefault="00B30C30" w:rsidP="009F063F">
      <w:pPr>
        <w:pStyle w:val="ListParagraph"/>
        <w:numPr>
          <w:ilvl w:val="0"/>
          <w:numId w:val="3"/>
        </w:numPr>
        <w:rPr>
          <w:szCs w:val="24"/>
        </w:rPr>
      </w:pPr>
      <w:r w:rsidRPr="00754D3D">
        <w:rPr>
          <w:rFonts w:eastAsia="Times New Roman"/>
          <w:szCs w:val="24"/>
        </w:rPr>
        <w:t>The Dual Enrollment Grant shall be used for lower division (courses numbered 100-200 or 1000-2000) postsecondary degree-seeking courses</w:t>
      </w:r>
    </w:p>
    <w:p w:rsidR="00754D3D" w:rsidRDefault="00754D3D" w:rsidP="009F063F">
      <w:pPr>
        <w:pStyle w:val="ListParagraph"/>
        <w:rPr>
          <w:szCs w:val="24"/>
        </w:rPr>
      </w:pPr>
    </w:p>
    <w:p w:rsidR="00F17C74" w:rsidRDefault="00F17C74" w:rsidP="009F063F">
      <w:pPr>
        <w:pStyle w:val="ListParagraph"/>
        <w:rPr>
          <w:szCs w:val="24"/>
        </w:rPr>
      </w:pPr>
    </w:p>
    <w:p w:rsidR="00F17C74" w:rsidRDefault="00F17C74" w:rsidP="009F063F">
      <w:pPr>
        <w:pStyle w:val="ListParagraph"/>
        <w:rPr>
          <w:szCs w:val="24"/>
        </w:rPr>
      </w:pPr>
    </w:p>
    <w:p w:rsidR="00F17C74" w:rsidRDefault="00F17C74" w:rsidP="009F063F">
      <w:pPr>
        <w:pStyle w:val="ListParagraph"/>
        <w:rPr>
          <w:szCs w:val="24"/>
        </w:rPr>
      </w:pPr>
    </w:p>
    <w:p w:rsidR="00F17C74" w:rsidRDefault="00F17C74" w:rsidP="009F063F">
      <w:pPr>
        <w:pStyle w:val="ListParagraph"/>
        <w:rPr>
          <w:szCs w:val="24"/>
        </w:rPr>
      </w:pPr>
    </w:p>
    <w:p w:rsidR="00F17C74" w:rsidRPr="00754D3D" w:rsidRDefault="00F17C74" w:rsidP="009F063F">
      <w:pPr>
        <w:pStyle w:val="ListParagraph"/>
        <w:rPr>
          <w:szCs w:val="24"/>
        </w:rPr>
      </w:pPr>
    </w:p>
    <w:p w:rsidR="00754D3D" w:rsidRPr="00754D3D" w:rsidRDefault="00754D3D" w:rsidP="00754D3D">
      <w:pPr>
        <w:spacing w:before="100" w:beforeAutospacing="1" w:after="300"/>
        <w:contextualSpacing/>
        <w:rPr>
          <w:rFonts w:eastAsia="Times New Roman"/>
          <w:color w:val="131E29"/>
          <w:spacing w:val="-6"/>
          <w:szCs w:val="24"/>
        </w:rPr>
      </w:pPr>
      <w:r w:rsidRPr="00754D3D">
        <w:rPr>
          <w:rFonts w:eastAsia="Times New Roman"/>
          <w:b/>
          <w:bCs/>
          <w:color w:val="131E29"/>
          <w:spacing w:val="-6"/>
          <w:szCs w:val="24"/>
        </w:rPr>
        <w:lastRenderedPageBreak/>
        <w:t>RULES AND PROCEDURES</w:t>
      </w:r>
    </w:p>
    <w:p w:rsidR="00754D3D" w:rsidRPr="00754D3D" w:rsidRDefault="00754D3D" w:rsidP="00754D3D">
      <w:pPr>
        <w:spacing w:before="100" w:beforeAutospacing="1" w:after="300"/>
        <w:contextualSpacing/>
        <w:rPr>
          <w:rFonts w:eastAsia="Times New Roman"/>
          <w:color w:val="131E29"/>
          <w:spacing w:val="-6"/>
          <w:szCs w:val="24"/>
        </w:rPr>
      </w:pPr>
      <w:r w:rsidRPr="00754D3D">
        <w:rPr>
          <w:rFonts w:eastAsia="Times New Roman"/>
          <w:color w:val="131E29"/>
          <w:spacing w:val="-6"/>
          <w:szCs w:val="24"/>
        </w:rPr>
        <w:t>The Dual Enrollment Grant program is defined as a grant for study at an eligible postsecondary institution that is funded from net proceeds of the state lottery and awarded to students who are attending an eligible high school and who are also enrolled in college courses at eligible postsecondary institutions for which they will receive college credit.</w:t>
      </w:r>
    </w:p>
    <w:p w:rsidR="00754D3D" w:rsidRPr="00754D3D" w:rsidRDefault="00754D3D" w:rsidP="00754D3D">
      <w:pPr>
        <w:spacing w:before="100" w:beforeAutospacing="1" w:after="300"/>
        <w:rPr>
          <w:rFonts w:eastAsia="Times New Roman"/>
          <w:color w:val="131E29"/>
          <w:spacing w:val="-6"/>
          <w:szCs w:val="24"/>
        </w:rPr>
      </w:pPr>
      <w:r w:rsidRPr="00754D3D">
        <w:rPr>
          <w:rFonts w:eastAsia="Times New Roman"/>
          <w:color w:val="131E29"/>
          <w:spacing w:val="-6"/>
          <w:szCs w:val="24"/>
        </w:rPr>
        <w:t>The Dual Enrollment Grant program is funded by the Tennessee Lottery and administered by the Tennessee Student Assistance Corporation</w:t>
      </w:r>
      <w:r w:rsidR="009F063F">
        <w:rPr>
          <w:rFonts w:eastAsia="Times New Roman"/>
          <w:color w:val="131E29"/>
          <w:spacing w:val="-6"/>
          <w:szCs w:val="24"/>
        </w:rPr>
        <w:t xml:space="preserve"> (TSAC)</w:t>
      </w:r>
      <w:r w:rsidRPr="00754D3D">
        <w:rPr>
          <w:rFonts w:eastAsia="Times New Roman"/>
          <w:color w:val="131E29"/>
          <w:spacing w:val="-6"/>
          <w:szCs w:val="24"/>
        </w:rPr>
        <w:t>. This program provides opportunities for students to begin working toward a college degree, while still pursuing a high school diploma.</w:t>
      </w:r>
    </w:p>
    <w:p w:rsidR="00754D3D" w:rsidRPr="00754D3D" w:rsidRDefault="00754D3D" w:rsidP="00754D3D">
      <w:pPr>
        <w:spacing w:before="100" w:beforeAutospacing="1" w:after="300"/>
        <w:contextualSpacing/>
        <w:rPr>
          <w:rFonts w:eastAsia="Times New Roman"/>
          <w:color w:val="131E29"/>
          <w:spacing w:val="-6"/>
          <w:szCs w:val="24"/>
        </w:rPr>
      </w:pPr>
      <w:r w:rsidRPr="00754D3D">
        <w:rPr>
          <w:rFonts w:eastAsia="Times New Roman"/>
          <w:b/>
          <w:bCs/>
          <w:color w:val="131E29"/>
          <w:spacing w:val="-6"/>
          <w:szCs w:val="24"/>
        </w:rPr>
        <w:t>Eligibility and Participation Requirements</w:t>
      </w:r>
    </w:p>
    <w:p w:rsidR="00754D3D" w:rsidRDefault="00754D3D" w:rsidP="00754D3D">
      <w:pPr>
        <w:spacing w:before="100" w:beforeAutospacing="1" w:after="300"/>
        <w:contextualSpacing/>
        <w:rPr>
          <w:rFonts w:eastAsia="Times New Roman"/>
          <w:color w:val="131E29"/>
          <w:spacing w:val="-6"/>
          <w:szCs w:val="24"/>
        </w:rPr>
      </w:pPr>
      <w:r w:rsidRPr="00754D3D">
        <w:rPr>
          <w:rFonts w:eastAsia="Times New Roman"/>
          <w:color w:val="131E29"/>
          <w:spacing w:val="-6"/>
          <w:szCs w:val="24"/>
        </w:rPr>
        <w:t xml:space="preserve">To be eligible for the Dual Enrollment Grant program, a student enrolled in an eligible high school must be admitted to and enrolled in an eligible postsecondary institution. Institutional admission requirements will govern the initial grant eligibility of dual enrollment students. A student must be a Tennessee resident, as defined by Chapter 0240-2-2, Classifying Students </w:t>
      </w:r>
      <w:proofErr w:type="gramStart"/>
      <w:r w:rsidRPr="00754D3D">
        <w:rPr>
          <w:rFonts w:eastAsia="Times New Roman"/>
          <w:color w:val="131E29"/>
          <w:spacing w:val="-6"/>
          <w:szCs w:val="24"/>
        </w:rPr>
        <w:t>In-</w:t>
      </w:r>
      <w:proofErr w:type="gramEnd"/>
      <w:r w:rsidRPr="00754D3D">
        <w:rPr>
          <w:rFonts w:eastAsia="Times New Roman"/>
          <w:color w:val="131E29"/>
          <w:spacing w:val="-6"/>
          <w:szCs w:val="24"/>
        </w:rPr>
        <w:t xml:space="preserve">State and Out-of-State, as promulgated by the Tennessee Board of Regents, for one year as of the application deadline of the semester of enrollment in an eligible postsecondary institution. </w:t>
      </w:r>
    </w:p>
    <w:p w:rsidR="00754D3D" w:rsidRPr="00754D3D" w:rsidRDefault="00754D3D" w:rsidP="00754D3D">
      <w:pPr>
        <w:spacing w:before="100" w:beforeAutospacing="1" w:after="300"/>
        <w:rPr>
          <w:rFonts w:eastAsia="Times New Roman"/>
          <w:color w:val="131E29"/>
          <w:spacing w:val="-6"/>
          <w:szCs w:val="24"/>
        </w:rPr>
      </w:pPr>
      <w:r w:rsidRPr="00754D3D">
        <w:rPr>
          <w:rFonts w:eastAsia="Times New Roman"/>
          <w:color w:val="131E29"/>
          <w:spacing w:val="-6"/>
          <w:szCs w:val="24"/>
        </w:rPr>
        <w:t>To be eligible, the student must:</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The grade point average is the numbered grade average calculated using a 4.00 grading scale, calculated to the hundredth decimal.</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The postsecondary cumulative grade point average used to determine eligibility for a renewal of a Dual Enrollment Grant must be calculated by the institution the student is currently attending, utilizing its institutional grading policy and must be based on all credit hours attempted, except as otherwise provided in these rules.</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Courses in which a student enrolls as an audit student for which no college credit will be received </w:t>
      </w:r>
      <w:r w:rsidRPr="00754D3D">
        <w:rPr>
          <w:rFonts w:eastAsia="Times New Roman"/>
          <w:b/>
          <w:bCs/>
          <w:color w:val="131E29"/>
          <w:spacing w:val="-6"/>
          <w:szCs w:val="24"/>
          <w:u w:val="single"/>
        </w:rPr>
        <w:t>cannot</w:t>
      </w:r>
      <w:r w:rsidRPr="00754D3D">
        <w:rPr>
          <w:rFonts w:eastAsia="Times New Roman"/>
          <w:color w:val="131E29"/>
          <w:spacing w:val="-6"/>
          <w:szCs w:val="24"/>
        </w:rPr>
        <w:t> be paid with a Dual Enrollment Grant award.</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Students who obtain a grade change shall notify the Registrar’s Office at the postsecondary institution within thirty (30) calendar days of the grade change. If the grade change makes the student eligible for a Dual Enrollment Grant, the student can be awarded retroactively in the current award year. If the grade change affects the student’s eligibility from the previous award year, the award may be adjusted in the current award year.</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Semester hours attempted under the Dual Enrollment Grant program grant shall not count toward the total semester hours attempted at postsecondary institutions for purposes of Tennessee HOPE Scholarship eligibility.</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The corresponding grades for the postsecondary credit hours taken as a dual enrollment credits shall not be included in the postsecondary cumulative grade average for purposes of the Tennessee HOPE Scholarship program.</w:t>
      </w:r>
    </w:p>
    <w:p w:rsidR="00754D3D" w:rsidRP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To be eligible for a Dual Enrollment Grant for any semester beyond the first semester of receipt, the student shall continue to meet all eligibility requirements for the grant and shall achieve a cumulative college grade point average of 2.75 for all postsecondary courses attempted while participating in the Dual Enrollment Grant program.</w:t>
      </w:r>
    </w:p>
    <w:p w:rsidR="00754D3D" w:rsidRDefault="00754D3D" w:rsidP="00754D3D">
      <w:pPr>
        <w:numPr>
          <w:ilvl w:val="0"/>
          <w:numId w:val="7"/>
        </w:numPr>
        <w:spacing w:before="100" w:beforeAutospacing="1" w:after="100" w:afterAutospacing="1"/>
        <w:rPr>
          <w:rFonts w:eastAsia="Times New Roman"/>
          <w:color w:val="131E29"/>
          <w:spacing w:val="-6"/>
          <w:szCs w:val="24"/>
        </w:rPr>
      </w:pPr>
      <w:r w:rsidRPr="00754D3D">
        <w:rPr>
          <w:rFonts w:eastAsia="Times New Roman"/>
          <w:color w:val="131E29"/>
          <w:spacing w:val="-6"/>
          <w:szCs w:val="24"/>
        </w:rPr>
        <w:t>A student enrolled in a matriculating status at an eligible postsecondary institution shall qualify for an award payment for distance learning courses; if all other eligibility requirements are met.</w:t>
      </w:r>
    </w:p>
    <w:p w:rsidR="00E877CC" w:rsidRPr="00F17C74" w:rsidRDefault="00E877CC" w:rsidP="00E877CC">
      <w:pPr>
        <w:spacing w:before="100" w:beforeAutospacing="1" w:after="100" w:afterAutospacing="1"/>
        <w:contextualSpacing/>
        <w:rPr>
          <w:rFonts w:eastAsia="Times New Roman"/>
          <w:b/>
          <w:color w:val="131E29"/>
          <w:spacing w:val="-6"/>
          <w:sz w:val="32"/>
          <w:szCs w:val="24"/>
        </w:rPr>
      </w:pPr>
      <w:r w:rsidRPr="00F17C74">
        <w:rPr>
          <w:rFonts w:eastAsia="Times New Roman"/>
          <w:b/>
          <w:color w:val="131E29"/>
          <w:spacing w:val="-6"/>
          <w:sz w:val="32"/>
          <w:szCs w:val="24"/>
        </w:rPr>
        <w:t>Application Deadlines</w:t>
      </w:r>
    </w:p>
    <w:p w:rsidR="00E877CC" w:rsidRPr="00F17C74" w:rsidRDefault="00E877CC" w:rsidP="00E877CC">
      <w:pPr>
        <w:spacing w:before="100" w:beforeAutospacing="1" w:after="100" w:afterAutospacing="1"/>
        <w:contextualSpacing/>
        <w:rPr>
          <w:rFonts w:eastAsia="Times New Roman"/>
          <w:color w:val="131E29"/>
          <w:spacing w:val="-6"/>
          <w:sz w:val="28"/>
          <w:szCs w:val="24"/>
        </w:rPr>
      </w:pPr>
      <w:r w:rsidRPr="00F17C74">
        <w:rPr>
          <w:rFonts w:eastAsia="Times New Roman"/>
          <w:color w:val="131E29"/>
          <w:spacing w:val="-6"/>
          <w:sz w:val="28"/>
          <w:szCs w:val="24"/>
        </w:rPr>
        <w:t>September 15 – Fall Semester</w:t>
      </w:r>
    </w:p>
    <w:p w:rsidR="00E877CC" w:rsidRPr="00F17C74" w:rsidRDefault="00E877CC" w:rsidP="00E877CC">
      <w:pPr>
        <w:spacing w:before="100" w:beforeAutospacing="1" w:after="100" w:afterAutospacing="1"/>
        <w:contextualSpacing/>
        <w:rPr>
          <w:rFonts w:eastAsia="Times New Roman"/>
          <w:color w:val="131E29"/>
          <w:spacing w:val="-6"/>
          <w:sz w:val="28"/>
          <w:szCs w:val="24"/>
        </w:rPr>
      </w:pPr>
      <w:r w:rsidRPr="00F17C74">
        <w:rPr>
          <w:rFonts w:eastAsia="Times New Roman"/>
          <w:color w:val="131E29"/>
          <w:spacing w:val="-6"/>
          <w:sz w:val="28"/>
          <w:szCs w:val="24"/>
        </w:rPr>
        <w:t>February 1 – Spring Semester</w:t>
      </w:r>
    </w:p>
    <w:p w:rsidR="009F063F" w:rsidRDefault="009F063F" w:rsidP="00E877CC">
      <w:pPr>
        <w:spacing w:before="100" w:beforeAutospacing="1" w:after="100" w:afterAutospacing="1"/>
        <w:contextualSpacing/>
        <w:rPr>
          <w:rFonts w:eastAsia="Times New Roman"/>
          <w:color w:val="131E29"/>
          <w:spacing w:val="-6"/>
          <w:szCs w:val="24"/>
        </w:rPr>
      </w:pPr>
    </w:p>
    <w:p w:rsidR="00E877CC" w:rsidRDefault="00E877CC" w:rsidP="00E877CC">
      <w:pPr>
        <w:spacing w:before="100" w:beforeAutospacing="1" w:after="100" w:afterAutospacing="1"/>
        <w:contextualSpacing/>
        <w:rPr>
          <w:rFonts w:eastAsia="Times New Roman"/>
          <w:color w:val="131E29"/>
          <w:spacing w:val="-6"/>
          <w:szCs w:val="24"/>
        </w:rPr>
      </w:pPr>
      <w:r>
        <w:rPr>
          <w:rFonts w:eastAsia="Times New Roman"/>
          <w:color w:val="131E29"/>
          <w:spacing w:val="-6"/>
          <w:szCs w:val="24"/>
        </w:rPr>
        <w:t>Students must complete the application (within the deadline times) for each semester they are taking a dual enrollment class.</w:t>
      </w:r>
    </w:p>
    <w:p w:rsidR="00E877CC" w:rsidRDefault="00E877CC" w:rsidP="00754D3D">
      <w:pPr>
        <w:contextualSpacing/>
        <w:rPr>
          <w:b/>
          <w:color w:val="131E29"/>
          <w:spacing w:val="-6"/>
          <w:szCs w:val="23"/>
          <w:shd w:val="clear" w:color="auto" w:fill="F9F9F9"/>
        </w:rPr>
      </w:pPr>
    </w:p>
    <w:sectPr w:rsidR="00E877CC" w:rsidSect="00F17C7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4B24"/>
    <w:multiLevelType w:val="hybridMultilevel"/>
    <w:tmpl w:val="BF26A2E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C42EB9"/>
    <w:multiLevelType w:val="multilevel"/>
    <w:tmpl w:val="6D0C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64CAA"/>
    <w:multiLevelType w:val="hybridMultilevel"/>
    <w:tmpl w:val="D11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45459"/>
    <w:multiLevelType w:val="hybridMultilevel"/>
    <w:tmpl w:val="564C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33139"/>
    <w:multiLevelType w:val="hybridMultilevel"/>
    <w:tmpl w:val="2BBE8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944B7C"/>
    <w:multiLevelType w:val="multilevel"/>
    <w:tmpl w:val="0EC2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522727"/>
    <w:multiLevelType w:val="hybridMultilevel"/>
    <w:tmpl w:val="0784CE40"/>
    <w:lvl w:ilvl="0" w:tplc="D89ED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F8"/>
    <w:rsid w:val="002F160D"/>
    <w:rsid w:val="005854F8"/>
    <w:rsid w:val="00754D3D"/>
    <w:rsid w:val="007F268B"/>
    <w:rsid w:val="008C6CFC"/>
    <w:rsid w:val="009F063F"/>
    <w:rsid w:val="00B30C30"/>
    <w:rsid w:val="00B47DCF"/>
    <w:rsid w:val="00BC51F5"/>
    <w:rsid w:val="00DA15F8"/>
    <w:rsid w:val="00DE1357"/>
    <w:rsid w:val="00E877CC"/>
    <w:rsid w:val="00F1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30"/>
    <w:pPr>
      <w:ind w:left="720"/>
      <w:contextualSpacing/>
    </w:pPr>
  </w:style>
  <w:style w:type="paragraph" w:styleId="NormalWeb">
    <w:name w:val="Normal (Web)"/>
    <w:basedOn w:val="Normal"/>
    <w:uiPriority w:val="99"/>
    <w:semiHidden/>
    <w:unhideWhenUsed/>
    <w:rsid w:val="00754D3D"/>
    <w:pPr>
      <w:spacing w:before="100" w:beforeAutospacing="1" w:after="100" w:afterAutospacing="1"/>
    </w:pPr>
    <w:rPr>
      <w:rFonts w:eastAsia="Times New Roman"/>
      <w:szCs w:val="24"/>
    </w:rPr>
  </w:style>
  <w:style w:type="character" w:styleId="Strong">
    <w:name w:val="Strong"/>
    <w:basedOn w:val="DefaultParagraphFont"/>
    <w:uiPriority w:val="22"/>
    <w:qFormat/>
    <w:rsid w:val="00754D3D"/>
    <w:rPr>
      <w:b/>
      <w:bCs/>
    </w:rPr>
  </w:style>
  <w:style w:type="character" w:customStyle="1" w:styleId="apple-converted-space">
    <w:name w:val="apple-converted-space"/>
    <w:basedOn w:val="DefaultParagraphFont"/>
    <w:rsid w:val="00754D3D"/>
  </w:style>
  <w:style w:type="character" w:styleId="Hyperlink">
    <w:name w:val="Hyperlink"/>
    <w:basedOn w:val="DefaultParagraphFont"/>
    <w:uiPriority w:val="99"/>
    <w:semiHidden/>
    <w:unhideWhenUsed/>
    <w:rsid w:val="00754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30"/>
    <w:pPr>
      <w:ind w:left="720"/>
      <w:contextualSpacing/>
    </w:pPr>
  </w:style>
  <w:style w:type="paragraph" w:styleId="NormalWeb">
    <w:name w:val="Normal (Web)"/>
    <w:basedOn w:val="Normal"/>
    <w:uiPriority w:val="99"/>
    <w:semiHidden/>
    <w:unhideWhenUsed/>
    <w:rsid w:val="00754D3D"/>
    <w:pPr>
      <w:spacing w:before="100" w:beforeAutospacing="1" w:after="100" w:afterAutospacing="1"/>
    </w:pPr>
    <w:rPr>
      <w:rFonts w:eastAsia="Times New Roman"/>
      <w:szCs w:val="24"/>
    </w:rPr>
  </w:style>
  <w:style w:type="character" w:styleId="Strong">
    <w:name w:val="Strong"/>
    <w:basedOn w:val="DefaultParagraphFont"/>
    <w:uiPriority w:val="22"/>
    <w:qFormat/>
    <w:rsid w:val="00754D3D"/>
    <w:rPr>
      <w:b/>
      <w:bCs/>
    </w:rPr>
  </w:style>
  <w:style w:type="character" w:customStyle="1" w:styleId="apple-converted-space">
    <w:name w:val="apple-converted-space"/>
    <w:basedOn w:val="DefaultParagraphFont"/>
    <w:rsid w:val="00754D3D"/>
  </w:style>
  <w:style w:type="character" w:styleId="Hyperlink">
    <w:name w:val="Hyperlink"/>
    <w:basedOn w:val="DefaultParagraphFont"/>
    <w:uiPriority w:val="99"/>
    <w:semiHidden/>
    <w:unhideWhenUsed/>
    <w:rsid w:val="00754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870">
      <w:bodyDiv w:val="1"/>
      <w:marLeft w:val="0"/>
      <w:marRight w:val="0"/>
      <w:marTop w:val="0"/>
      <w:marBottom w:val="0"/>
      <w:divBdr>
        <w:top w:val="none" w:sz="0" w:space="0" w:color="auto"/>
        <w:left w:val="none" w:sz="0" w:space="0" w:color="auto"/>
        <w:bottom w:val="none" w:sz="0" w:space="0" w:color="auto"/>
        <w:right w:val="none" w:sz="0" w:space="0" w:color="auto"/>
      </w:divBdr>
    </w:div>
    <w:div w:id="1205673944">
      <w:bodyDiv w:val="1"/>
      <w:marLeft w:val="0"/>
      <w:marRight w:val="0"/>
      <w:marTop w:val="0"/>
      <w:marBottom w:val="0"/>
      <w:divBdr>
        <w:top w:val="none" w:sz="0" w:space="0" w:color="auto"/>
        <w:left w:val="none" w:sz="0" w:space="0" w:color="auto"/>
        <w:bottom w:val="none" w:sz="0" w:space="0" w:color="auto"/>
        <w:right w:val="none" w:sz="0" w:space="0" w:color="auto"/>
      </w:divBdr>
    </w:div>
    <w:div w:id="1740203838">
      <w:bodyDiv w:val="1"/>
      <w:marLeft w:val="0"/>
      <w:marRight w:val="0"/>
      <w:marTop w:val="0"/>
      <w:marBottom w:val="0"/>
      <w:divBdr>
        <w:top w:val="none" w:sz="0" w:space="0" w:color="auto"/>
        <w:left w:val="none" w:sz="0" w:space="0" w:color="auto"/>
        <w:bottom w:val="none" w:sz="0" w:space="0" w:color="auto"/>
        <w:right w:val="none" w:sz="0" w:space="0" w:color="auto"/>
      </w:divBdr>
    </w:div>
    <w:div w:id="20271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Collegedale Academy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Djernes</dc:creator>
  <cp:lastModifiedBy>Kerre Conerly</cp:lastModifiedBy>
  <cp:revision>2</cp:revision>
  <cp:lastPrinted>2017-01-12T14:45:00Z</cp:lastPrinted>
  <dcterms:created xsi:type="dcterms:W3CDTF">2017-09-07T18:18:00Z</dcterms:created>
  <dcterms:modified xsi:type="dcterms:W3CDTF">2017-09-07T18:18:00Z</dcterms:modified>
</cp:coreProperties>
</file>